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EE7C9" w14:textId="77777777" w:rsidR="0008301F" w:rsidRPr="00197576" w:rsidRDefault="00BF332A" w:rsidP="00BF332A">
      <w:pPr>
        <w:pStyle w:val="Tytu"/>
        <w:rPr>
          <w:rStyle w:val="Pogrubienie"/>
          <w:rFonts w:asciiTheme="minorHAnsi" w:hAnsiTheme="minorHAnsi"/>
          <w:b w:val="0"/>
          <w:bCs w:val="0"/>
          <w:sz w:val="40"/>
          <w:szCs w:val="40"/>
          <w:lang w:val="pl-PL"/>
        </w:rPr>
      </w:pPr>
      <w:r w:rsidRPr="00197576">
        <w:rPr>
          <w:rStyle w:val="Pogrubienie"/>
          <w:rFonts w:asciiTheme="minorHAnsi" w:hAnsiTheme="minorHAnsi"/>
          <w:b w:val="0"/>
          <w:bCs w:val="0"/>
          <w:sz w:val="40"/>
          <w:szCs w:val="40"/>
          <w:lang w:val="pl-PL"/>
        </w:rPr>
        <w:t>I Forum Rzeczników Patentowych i Aplikantów „Ja rzecznik – mój zawód mój samorząd – wyzwania i szanse”</w:t>
      </w:r>
      <w:bookmarkStart w:id="0" w:name="_GoBack"/>
      <w:bookmarkEnd w:id="0"/>
    </w:p>
    <w:p w14:paraId="64DEEAAD" w14:textId="77777777" w:rsidR="00BF332A" w:rsidRPr="00197576" w:rsidRDefault="00BF332A" w:rsidP="00BF332A">
      <w:pPr>
        <w:pStyle w:val="Podtytu"/>
        <w:rPr>
          <w:rStyle w:val="Pogrubienie"/>
          <w:rFonts w:asciiTheme="minorHAnsi" w:hAnsiTheme="minorHAnsi" w:cs="Arial"/>
          <w:color w:val="000000"/>
          <w:bdr w:val="none" w:sz="0" w:space="0" w:color="auto" w:frame="1"/>
          <w:shd w:val="clear" w:color="auto" w:fill="FFFFFF"/>
          <w:lang w:val="pl-PL"/>
        </w:rPr>
      </w:pPr>
      <w:r w:rsidRPr="00197576">
        <w:rPr>
          <w:rStyle w:val="Pogrubienie"/>
          <w:rFonts w:asciiTheme="minorHAnsi" w:hAnsiTheme="minorHAnsi" w:cs="Arial"/>
          <w:color w:val="000000"/>
          <w:bdr w:val="none" w:sz="0" w:space="0" w:color="auto" w:frame="1"/>
          <w:shd w:val="clear" w:color="auto" w:fill="FFFFFF"/>
          <w:lang w:val="pl-PL"/>
        </w:rPr>
        <w:t xml:space="preserve">Notatka z pracy Zespołu </w:t>
      </w:r>
      <w:r w:rsidR="00FA7033" w:rsidRPr="00197576">
        <w:rPr>
          <w:rStyle w:val="Pogrubienie"/>
          <w:rFonts w:asciiTheme="minorHAnsi" w:hAnsiTheme="minorHAnsi" w:cs="Arial"/>
          <w:color w:val="000000"/>
          <w:bdr w:val="none" w:sz="0" w:space="0" w:color="auto" w:frame="1"/>
          <w:shd w:val="clear" w:color="auto" w:fill="FFFFFF"/>
          <w:lang w:val="pl-PL"/>
        </w:rPr>
        <w:t>Legislacyjnego</w:t>
      </w:r>
    </w:p>
    <w:p w14:paraId="56DDD4D3" w14:textId="77777777" w:rsidR="00BF332A" w:rsidRPr="00197576" w:rsidRDefault="00BF332A" w:rsidP="00F76B0F">
      <w:pPr>
        <w:spacing w:after="0" w:line="240" w:lineRule="auto"/>
        <w:rPr>
          <w:rFonts w:asciiTheme="minorHAnsi" w:hAnsiTheme="minorHAnsi" w:cstheme="minorHAnsi"/>
          <w:szCs w:val="24"/>
          <w:lang w:val="pl-PL"/>
        </w:rPr>
      </w:pPr>
      <w:r w:rsidRPr="00197576">
        <w:rPr>
          <w:rFonts w:asciiTheme="minorHAnsi" w:hAnsiTheme="minorHAnsi" w:cstheme="minorHAnsi"/>
          <w:szCs w:val="24"/>
          <w:lang w:val="pl-PL"/>
        </w:rPr>
        <w:t>W pracach Zespołu Promocji Zawodu, Informacji i Działalności Wydawniczej w dniu 31.01.2020 roku wzięli udział:</w:t>
      </w:r>
    </w:p>
    <w:p w14:paraId="173A84A9" w14:textId="77777777" w:rsidR="00BF332A" w:rsidRPr="00197576" w:rsidRDefault="00BF332A" w:rsidP="00FA7033">
      <w:pPr>
        <w:spacing w:after="0" w:line="240" w:lineRule="auto"/>
        <w:rPr>
          <w:rFonts w:asciiTheme="minorHAnsi" w:hAnsiTheme="minorHAnsi" w:cstheme="minorHAnsi"/>
          <w:szCs w:val="24"/>
          <w:lang w:val="pl-PL"/>
        </w:rPr>
      </w:pPr>
    </w:p>
    <w:p w14:paraId="3B001159" w14:textId="77777777" w:rsidR="00FA7033" w:rsidRPr="00197576" w:rsidRDefault="00197576" w:rsidP="00197576">
      <w:pPr>
        <w:pStyle w:val="Akapitzlist"/>
        <w:numPr>
          <w:ilvl w:val="0"/>
          <w:numId w:val="32"/>
        </w:numPr>
        <w:spacing w:after="0" w:line="240" w:lineRule="auto"/>
        <w:rPr>
          <w:rFonts w:asciiTheme="minorHAnsi" w:hAnsiTheme="minorHAnsi" w:cstheme="minorHAnsi"/>
          <w:szCs w:val="24"/>
          <w:lang w:val="pl-PL"/>
        </w:rPr>
      </w:pPr>
      <w:r w:rsidRPr="00197576">
        <w:rPr>
          <w:rFonts w:asciiTheme="minorHAnsi" w:hAnsiTheme="minorHAnsi" w:cstheme="minorHAnsi"/>
          <w:szCs w:val="24"/>
          <w:lang w:val="pl-PL"/>
        </w:rPr>
        <w:t>Paweł Kurcman</w:t>
      </w:r>
      <w:r>
        <w:rPr>
          <w:rFonts w:asciiTheme="minorHAnsi" w:hAnsiTheme="minorHAnsi" w:cstheme="minorHAnsi"/>
          <w:szCs w:val="24"/>
          <w:lang w:val="pl-PL"/>
        </w:rPr>
        <w:t xml:space="preserve"> – Przewodniczący Zespołu</w:t>
      </w:r>
    </w:p>
    <w:p w14:paraId="0CA667E4" w14:textId="77777777" w:rsidR="00197576" w:rsidRDefault="00197576" w:rsidP="00197576">
      <w:pPr>
        <w:pStyle w:val="Akapitzlist"/>
        <w:numPr>
          <w:ilvl w:val="0"/>
          <w:numId w:val="32"/>
        </w:numPr>
        <w:spacing w:after="0" w:line="240" w:lineRule="auto"/>
        <w:rPr>
          <w:rFonts w:asciiTheme="minorHAnsi" w:hAnsiTheme="minorHAnsi" w:cstheme="minorHAnsi"/>
          <w:szCs w:val="24"/>
          <w:lang w:val="pl-PL"/>
        </w:rPr>
      </w:pPr>
      <w:r>
        <w:rPr>
          <w:rFonts w:asciiTheme="minorHAnsi" w:hAnsiTheme="minorHAnsi" w:cstheme="minorHAnsi"/>
          <w:szCs w:val="24"/>
          <w:lang w:val="pl-PL"/>
        </w:rPr>
        <w:t>Tomasz Gawliczek</w:t>
      </w:r>
    </w:p>
    <w:p w14:paraId="66EC4029" w14:textId="77777777" w:rsidR="00197576" w:rsidRDefault="00197576" w:rsidP="00197576">
      <w:pPr>
        <w:pStyle w:val="Akapitzlist"/>
        <w:numPr>
          <w:ilvl w:val="0"/>
          <w:numId w:val="32"/>
        </w:numPr>
        <w:spacing w:after="0" w:line="240" w:lineRule="auto"/>
        <w:rPr>
          <w:rFonts w:asciiTheme="minorHAnsi" w:hAnsiTheme="minorHAnsi" w:cstheme="minorHAnsi"/>
          <w:szCs w:val="24"/>
          <w:lang w:val="pl-PL"/>
        </w:rPr>
      </w:pPr>
      <w:r>
        <w:rPr>
          <w:rFonts w:asciiTheme="minorHAnsi" w:hAnsiTheme="minorHAnsi" w:cstheme="minorHAnsi"/>
          <w:szCs w:val="24"/>
          <w:lang w:val="pl-PL"/>
        </w:rPr>
        <w:t xml:space="preserve">Oskar </w:t>
      </w:r>
      <w:proofErr w:type="spellStart"/>
      <w:r>
        <w:rPr>
          <w:rFonts w:asciiTheme="minorHAnsi" w:hAnsiTheme="minorHAnsi" w:cstheme="minorHAnsi"/>
          <w:szCs w:val="24"/>
          <w:lang w:val="pl-PL"/>
        </w:rPr>
        <w:t>Gińko</w:t>
      </w:r>
      <w:proofErr w:type="spellEnd"/>
    </w:p>
    <w:p w14:paraId="106656CA" w14:textId="77777777" w:rsidR="00197576" w:rsidRDefault="00197576" w:rsidP="00197576">
      <w:pPr>
        <w:pStyle w:val="Akapitzlist"/>
        <w:numPr>
          <w:ilvl w:val="0"/>
          <w:numId w:val="32"/>
        </w:numPr>
        <w:spacing w:after="0" w:line="240" w:lineRule="auto"/>
        <w:rPr>
          <w:rFonts w:asciiTheme="minorHAnsi" w:hAnsiTheme="minorHAnsi" w:cstheme="minorHAnsi"/>
          <w:szCs w:val="24"/>
          <w:lang w:val="pl-PL"/>
        </w:rPr>
      </w:pPr>
      <w:r>
        <w:rPr>
          <w:rFonts w:asciiTheme="minorHAnsi" w:hAnsiTheme="minorHAnsi" w:cstheme="minorHAnsi"/>
          <w:szCs w:val="24"/>
          <w:lang w:val="pl-PL"/>
        </w:rPr>
        <w:t>Monika Kowalczyk</w:t>
      </w:r>
    </w:p>
    <w:p w14:paraId="411C3A75" w14:textId="77777777" w:rsidR="00927ADA" w:rsidRDefault="00927ADA" w:rsidP="00197576">
      <w:pPr>
        <w:pStyle w:val="Akapitzlist"/>
        <w:numPr>
          <w:ilvl w:val="0"/>
          <w:numId w:val="32"/>
        </w:numPr>
        <w:spacing w:after="0" w:line="240" w:lineRule="auto"/>
        <w:rPr>
          <w:rFonts w:asciiTheme="minorHAnsi" w:hAnsiTheme="minorHAnsi" w:cstheme="minorHAnsi"/>
          <w:szCs w:val="24"/>
          <w:lang w:val="pl-PL"/>
        </w:rPr>
      </w:pPr>
      <w:r>
        <w:rPr>
          <w:rFonts w:asciiTheme="minorHAnsi" w:hAnsiTheme="minorHAnsi" w:cstheme="minorHAnsi"/>
          <w:szCs w:val="24"/>
          <w:lang w:val="pl-PL"/>
        </w:rPr>
        <w:t xml:space="preserve">Piotr Mierzwiński </w:t>
      </w:r>
    </w:p>
    <w:p w14:paraId="72FB6162" w14:textId="77777777" w:rsidR="00927ADA" w:rsidRPr="00197576" w:rsidRDefault="00927ADA" w:rsidP="00197576">
      <w:pPr>
        <w:pStyle w:val="Akapitzlist"/>
        <w:numPr>
          <w:ilvl w:val="0"/>
          <w:numId w:val="32"/>
        </w:numPr>
        <w:spacing w:after="0" w:line="240" w:lineRule="auto"/>
        <w:rPr>
          <w:rFonts w:asciiTheme="minorHAnsi" w:hAnsiTheme="minorHAnsi" w:cstheme="minorHAnsi"/>
          <w:szCs w:val="24"/>
          <w:lang w:val="pl-PL"/>
        </w:rPr>
      </w:pPr>
      <w:r>
        <w:rPr>
          <w:rFonts w:asciiTheme="minorHAnsi" w:hAnsiTheme="minorHAnsi" w:cstheme="minorHAnsi"/>
          <w:szCs w:val="24"/>
          <w:lang w:val="pl-PL"/>
        </w:rPr>
        <w:t>Leonard Skarbek</w:t>
      </w:r>
    </w:p>
    <w:p w14:paraId="30D3E65C" w14:textId="77777777" w:rsidR="00FA7033" w:rsidRPr="00197576" w:rsidRDefault="00FA7033" w:rsidP="00FA7033">
      <w:pPr>
        <w:spacing w:after="0" w:line="240" w:lineRule="auto"/>
        <w:rPr>
          <w:rFonts w:asciiTheme="minorHAnsi" w:hAnsiTheme="minorHAnsi" w:cstheme="minorHAnsi"/>
          <w:szCs w:val="24"/>
          <w:lang w:val="pl-PL"/>
        </w:rPr>
      </w:pPr>
    </w:p>
    <w:p w14:paraId="4C3937B4" w14:textId="77777777" w:rsidR="007C28CE" w:rsidRPr="00197576" w:rsidRDefault="007C28CE" w:rsidP="007C28CE">
      <w:pPr>
        <w:spacing w:after="0" w:line="240" w:lineRule="auto"/>
        <w:rPr>
          <w:rFonts w:asciiTheme="minorHAnsi" w:hAnsiTheme="minorHAnsi" w:cstheme="minorHAnsi"/>
          <w:szCs w:val="24"/>
          <w:lang w:val="pl-PL"/>
        </w:rPr>
      </w:pPr>
    </w:p>
    <w:p w14:paraId="4A1ADDE4" w14:textId="77777777" w:rsidR="00946B8B" w:rsidRPr="00197576" w:rsidRDefault="00854CC5" w:rsidP="00F76B0F">
      <w:pPr>
        <w:spacing w:after="0" w:line="240" w:lineRule="auto"/>
        <w:jc w:val="center"/>
        <w:rPr>
          <w:rFonts w:asciiTheme="minorHAnsi" w:hAnsiTheme="minorHAnsi" w:cstheme="minorHAnsi"/>
          <w:szCs w:val="24"/>
          <w:lang w:val="pl-PL"/>
        </w:rPr>
      </w:pPr>
      <w:r w:rsidRPr="00197576">
        <w:rPr>
          <w:rFonts w:asciiTheme="minorHAnsi" w:hAnsiTheme="minorHAnsi" w:cstheme="minorHAnsi"/>
          <w:noProof/>
          <w:szCs w:val="24"/>
          <w:lang w:val="pl-PL" w:eastAsia="pl-PL" w:bidi="ar-SA"/>
        </w:rPr>
        <w:drawing>
          <wp:inline distT="0" distB="0" distL="0" distR="0" wp14:anchorId="5230CBFD" wp14:editId="350E9ABA">
            <wp:extent cx="5760720" cy="43205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EastAsia" w:hAnsiTheme="minorHAnsi" w:cstheme="minorHAnsi"/>
          <w:b w:val="0"/>
          <w:bCs w:val="0"/>
          <w:sz w:val="24"/>
          <w:szCs w:val="24"/>
          <w:lang w:val="pl-PL"/>
        </w:rPr>
        <w:id w:val="-99795741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03BF4415" w14:textId="77777777" w:rsidR="001D0036" w:rsidRPr="00197576" w:rsidRDefault="001D0036" w:rsidP="00A05AC4">
          <w:pPr>
            <w:pStyle w:val="Nagwekspisutreci"/>
            <w:numPr>
              <w:ilvl w:val="0"/>
              <w:numId w:val="0"/>
            </w:numPr>
            <w:spacing w:before="0" w:after="0" w:line="240" w:lineRule="auto"/>
            <w:rPr>
              <w:rFonts w:asciiTheme="minorHAnsi" w:hAnsiTheme="minorHAnsi" w:cstheme="minorHAnsi"/>
              <w:sz w:val="24"/>
              <w:szCs w:val="24"/>
              <w:lang w:val="pl-PL"/>
            </w:rPr>
          </w:pPr>
        </w:p>
        <w:p w14:paraId="5BA37B58" w14:textId="77777777" w:rsidR="001D0036" w:rsidRPr="00197576" w:rsidRDefault="00E314D0" w:rsidP="00F76B0F">
          <w:pPr>
            <w:spacing w:after="0" w:line="360" w:lineRule="auto"/>
            <w:rPr>
              <w:rFonts w:asciiTheme="minorHAnsi" w:hAnsiTheme="minorHAnsi" w:cstheme="minorHAnsi"/>
              <w:szCs w:val="24"/>
            </w:rPr>
          </w:pPr>
        </w:p>
      </w:sdtContent>
    </w:sdt>
    <w:p w14:paraId="29BFD522" w14:textId="77777777" w:rsidR="00BF332A" w:rsidRPr="00197576" w:rsidRDefault="00BF332A" w:rsidP="00F76B0F">
      <w:pPr>
        <w:spacing w:after="0" w:line="360" w:lineRule="auto"/>
        <w:rPr>
          <w:rFonts w:asciiTheme="minorHAnsi" w:hAnsiTheme="minorHAnsi" w:cstheme="minorHAnsi"/>
          <w:szCs w:val="24"/>
          <w:lang w:val="pl-PL"/>
        </w:rPr>
      </w:pPr>
    </w:p>
    <w:p w14:paraId="3F603DFC" w14:textId="77777777" w:rsidR="00BF332A" w:rsidRPr="00197576" w:rsidRDefault="00BF332A" w:rsidP="00F76B0F">
      <w:pPr>
        <w:spacing w:after="0" w:line="240" w:lineRule="auto"/>
        <w:rPr>
          <w:rFonts w:asciiTheme="minorHAnsi" w:hAnsiTheme="minorHAnsi" w:cstheme="minorHAnsi"/>
          <w:szCs w:val="24"/>
          <w:lang w:val="pl-PL"/>
        </w:rPr>
      </w:pPr>
    </w:p>
    <w:p w14:paraId="6A36D512" w14:textId="77777777" w:rsidR="00BE21E1" w:rsidRPr="00197576" w:rsidRDefault="00A05AC4" w:rsidP="00E230D3">
      <w:pPr>
        <w:rPr>
          <w:rFonts w:asciiTheme="minorHAnsi" w:hAnsiTheme="minorHAnsi"/>
          <w:szCs w:val="24"/>
          <w:lang w:val="pl-PL"/>
        </w:rPr>
      </w:pPr>
      <w:r w:rsidRPr="00197576">
        <w:rPr>
          <w:rFonts w:asciiTheme="minorHAnsi" w:hAnsiTheme="minorHAnsi"/>
          <w:szCs w:val="24"/>
          <w:lang w:val="pl-PL"/>
        </w:rPr>
        <w:t>Prace członków Zespołu Legislacyjnego skupiały się wokół następujących głównych zagadnień:</w:t>
      </w:r>
    </w:p>
    <w:p w14:paraId="5498FC4A" w14:textId="77777777" w:rsidR="00A05AC4" w:rsidRPr="00197576" w:rsidRDefault="00A05AC4" w:rsidP="00E230D3">
      <w:pPr>
        <w:rPr>
          <w:rFonts w:asciiTheme="minorHAnsi" w:hAnsiTheme="minorHAnsi"/>
          <w:szCs w:val="24"/>
          <w:lang w:val="pl-PL"/>
        </w:rPr>
      </w:pPr>
    </w:p>
    <w:p w14:paraId="0C137A2E" w14:textId="77777777" w:rsidR="00197576" w:rsidRPr="00197576" w:rsidRDefault="00197576" w:rsidP="00E230D3">
      <w:pPr>
        <w:spacing w:after="0"/>
        <w:rPr>
          <w:rFonts w:asciiTheme="minorHAnsi" w:eastAsia="Times New Roman" w:hAnsiTheme="minorHAnsi" w:cs="Times New Roman"/>
          <w:color w:val="000000"/>
          <w:szCs w:val="24"/>
          <w:lang w:val="pl-PL" w:eastAsia="pl-PL" w:bidi="ar-SA"/>
        </w:rPr>
      </w:pPr>
      <w:r w:rsidRPr="00197576">
        <w:rPr>
          <w:rFonts w:asciiTheme="minorHAnsi" w:eastAsia="Times New Roman" w:hAnsiTheme="minorHAnsi" w:cs="Times New Roman"/>
          <w:color w:val="000000"/>
          <w:szCs w:val="24"/>
          <w:lang w:val="pl-PL" w:eastAsia="pl-PL" w:bidi="ar-SA"/>
        </w:rPr>
        <w:t xml:space="preserve">1. Zmiany w Prawie własności przemysłowej (dalsza harmonizacja m.in. z EPC, kompletne uregulowanie postępowania spornego i postępowań </w:t>
      </w:r>
      <w:proofErr w:type="spellStart"/>
      <w:r w:rsidRPr="00197576">
        <w:rPr>
          <w:rFonts w:asciiTheme="minorHAnsi" w:eastAsia="Times New Roman" w:hAnsiTheme="minorHAnsi" w:cs="Times New Roman"/>
          <w:color w:val="000000"/>
          <w:szCs w:val="24"/>
          <w:lang w:val="pl-PL" w:eastAsia="pl-PL" w:bidi="ar-SA"/>
        </w:rPr>
        <w:t>sprzeciwowych</w:t>
      </w:r>
      <w:proofErr w:type="spellEnd"/>
      <w:r w:rsidRPr="00197576">
        <w:rPr>
          <w:rFonts w:asciiTheme="minorHAnsi" w:eastAsia="Times New Roman" w:hAnsiTheme="minorHAnsi" w:cs="Times New Roman"/>
          <w:color w:val="000000"/>
          <w:szCs w:val="24"/>
          <w:lang w:val="pl-PL" w:eastAsia="pl-PL" w:bidi="ar-SA"/>
        </w:rPr>
        <w:t>, zintegrowanie z nowymi przepisami KPC i in.)</w:t>
      </w:r>
    </w:p>
    <w:p w14:paraId="6242DB46" w14:textId="77777777" w:rsidR="00197576" w:rsidRPr="00197576" w:rsidRDefault="00197576" w:rsidP="00E230D3">
      <w:pPr>
        <w:spacing w:after="0"/>
        <w:rPr>
          <w:rFonts w:asciiTheme="minorHAnsi" w:eastAsia="Times New Roman" w:hAnsiTheme="minorHAnsi" w:cs="Times New Roman"/>
          <w:color w:val="000000"/>
          <w:szCs w:val="24"/>
          <w:lang w:val="pl-PL" w:eastAsia="pl-PL" w:bidi="ar-SA"/>
        </w:rPr>
      </w:pPr>
      <w:r w:rsidRPr="00197576">
        <w:rPr>
          <w:rFonts w:asciiTheme="minorHAnsi" w:eastAsia="Times New Roman" w:hAnsiTheme="minorHAnsi" w:cs="Times New Roman"/>
          <w:color w:val="000000"/>
          <w:szCs w:val="24"/>
          <w:lang w:val="pl-PL" w:eastAsia="pl-PL" w:bidi="ar-SA"/>
        </w:rPr>
        <w:t>2. Nowe pola do działania rzeczników patentowych: dopuszczenie rzeczników do udziału w charakterze pełnomocnika lub obrońcy w postępowaniach karnych w zakresie spraw własności intelektualnej; większa rola rzeczników jako mediatorów w postępowaniach pozasądowych i sądowych; stworzenie przy PIRP Instytutu Biegłych i udział rzeczników w postępowaniach sądowych przed sądami własności intelektualnej w charakterze biegłych sądowych; stworzenie przy PIRP Centrum Arbitrażu w sprawach własności intelektualnej</w:t>
      </w:r>
    </w:p>
    <w:p w14:paraId="39E2FED9" w14:textId="77777777" w:rsidR="00197576" w:rsidRPr="00197576" w:rsidRDefault="00197576" w:rsidP="00E230D3">
      <w:pPr>
        <w:spacing w:after="0"/>
        <w:rPr>
          <w:rFonts w:asciiTheme="minorHAnsi" w:eastAsia="Times New Roman" w:hAnsiTheme="minorHAnsi" w:cs="Times New Roman"/>
          <w:color w:val="000000"/>
          <w:szCs w:val="24"/>
          <w:lang w:val="pl-PL" w:eastAsia="pl-PL" w:bidi="ar-SA"/>
        </w:rPr>
      </w:pPr>
      <w:r w:rsidRPr="00197576">
        <w:rPr>
          <w:rFonts w:asciiTheme="minorHAnsi" w:eastAsia="Times New Roman" w:hAnsiTheme="minorHAnsi" w:cs="Times New Roman"/>
          <w:color w:val="000000"/>
          <w:szCs w:val="24"/>
          <w:lang w:val="pl-PL" w:eastAsia="pl-PL" w:bidi="ar-SA"/>
        </w:rPr>
        <w:t>3. Praktyczne aspekty sporów dot. IP w nowych realiach, tj. po nowelizacji KPC, oraz rola PIRP w tym zakresie</w:t>
      </w:r>
    </w:p>
    <w:p w14:paraId="54578C52" w14:textId="77777777" w:rsidR="00197576" w:rsidRPr="00197576" w:rsidRDefault="00197576" w:rsidP="00E230D3">
      <w:pPr>
        <w:rPr>
          <w:rFonts w:asciiTheme="minorHAnsi" w:hAnsiTheme="minorHAnsi"/>
          <w:szCs w:val="24"/>
          <w:lang w:val="pl-PL"/>
        </w:rPr>
      </w:pPr>
    </w:p>
    <w:p w14:paraId="3DAEF630" w14:textId="77777777" w:rsidR="00197576" w:rsidRDefault="00197576" w:rsidP="00BE21E1">
      <w:pPr>
        <w:rPr>
          <w:rFonts w:asciiTheme="minorHAnsi" w:hAnsiTheme="minorHAnsi"/>
          <w:szCs w:val="24"/>
          <w:lang w:val="pl-PL"/>
        </w:rPr>
      </w:pPr>
      <w:r w:rsidRPr="00197576">
        <w:rPr>
          <w:rFonts w:asciiTheme="minorHAnsi" w:hAnsiTheme="minorHAnsi"/>
          <w:szCs w:val="24"/>
          <w:lang w:val="pl-PL"/>
        </w:rPr>
        <w:t xml:space="preserve">W trakcie </w:t>
      </w:r>
      <w:r w:rsidR="00927ADA">
        <w:rPr>
          <w:rFonts w:asciiTheme="minorHAnsi" w:hAnsiTheme="minorHAnsi"/>
          <w:szCs w:val="24"/>
          <w:lang w:val="pl-PL"/>
        </w:rPr>
        <w:t xml:space="preserve">forum, z uwagi na jego formułę i ograniczony czas </w:t>
      </w:r>
      <w:r w:rsidR="00B65C7C">
        <w:rPr>
          <w:rFonts w:asciiTheme="minorHAnsi" w:hAnsiTheme="minorHAnsi"/>
          <w:szCs w:val="24"/>
          <w:lang w:val="pl-PL"/>
        </w:rPr>
        <w:t xml:space="preserve">do </w:t>
      </w:r>
      <w:r w:rsidR="00927ADA">
        <w:rPr>
          <w:rFonts w:asciiTheme="minorHAnsi" w:hAnsiTheme="minorHAnsi"/>
          <w:szCs w:val="24"/>
          <w:lang w:val="pl-PL"/>
        </w:rPr>
        <w:t>dyskusji, udało się przedyskutować większość ww. tematów, ze wskazaniem również na inne wątki</w:t>
      </w:r>
      <w:r w:rsidR="005C3F50">
        <w:rPr>
          <w:rFonts w:asciiTheme="minorHAnsi" w:hAnsiTheme="minorHAnsi"/>
          <w:szCs w:val="24"/>
          <w:lang w:val="pl-PL"/>
        </w:rPr>
        <w:t xml:space="preserve"> mieszczące się w</w:t>
      </w:r>
      <w:r w:rsidR="00693FD7">
        <w:rPr>
          <w:rFonts w:asciiTheme="minorHAnsi" w:hAnsiTheme="minorHAnsi"/>
          <w:szCs w:val="24"/>
          <w:lang w:val="pl-PL"/>
        </w:rPr>
        <w:t xml:space="preserve"> tych tematach.</w:t>
      </w:r>
    </w:p>
    <w:p w14:paraId="7C276574" w14:textId="77777777" w:rsidR="00B65C7C" w:rsidRDefault="00B65C7C" w:rsidP="00BE21E1">
      <w:pPr>
        <w:rPr>
          <w:rFonts w:asciiTheme="minorHAnsi" w:hAnsiTheme="minorHAnsi"/>
          <w:szCs w:val="24"/>
          <w:lang w:val="pl-PL"/>
        </w:rPr>
      </w:pPr>
    </w:p>
    <w:p w14:paraId="0E6C0110" w14:textId="77777777" w:rsidR="005C3F50" w:rsidRDefault="00693FD7" w:rsidP="00BE21E1">
      <w:pPr>
        <w:rPr>
          <w:rFonts w:asciiTheme="minorHAnsi" w:hAnsiTheme="minorHAnsi"/>
          <w:szCs w:val="24"/>
          <w:lang w:val="pl-PL"/>
        </w:rPr>
      </w:pPr>
      <w:r>
        <w:rPr>
          <w:rFonts w:asciiTheme="minorHAnsi" w:hAnsiTheme="minorHAnsi"/>
          <w:szCs w:val="24"/>
          <w:lang w:val="pl-PL"/>
        </w:rPr>
        <w:t>W szczególności dyskusja dotyczyła możliwych zmian w przepisach</w:t>
      </w:r>
      <w:r w:rsidR="00B65C7C">
        <w:rPr>
          <w:rFonts w:asciiTheme="minorHAnsi" w:hAnsiTheme="minorHAnsi"/>
          <w:szCs w:val="24"/>
          <w:lang w:val="pl-PL"/>
        </w:rPr>
        <w:t>,</w:t>
      </w:r>
      <w:r>
        <w:rPr>
          <w:rFonts w:asciiTheme="minorHAnsi" w:hAnsiTheme="minorHAnsi"/>
          <w:szCs w:val="24"/>
          <w:lang w:val="pl-PL"/>
        </w:rPr>
        <w:t xml:space="preserve"> które pozwoliłyby przyjąć model udziału ławników lub sędziów technicznych w prowadzonych postępowaniach</w:t>
      </w:r>
      <w:r w:rsidR="00515255">
        <w:rPr>
          <w:rFonts w:asciiTheme="minorHAnsi" w:hAnsiTheme="minorHAnsi"/>
          <w:szCs w:val="24"/>
          <w:lang w:val="pl-PL"/>
        </w:rPr>
        <w:t xml:space="preserve"> sądowych</w:t>
      </w:r>
      <w:r>
        <w:rPr>
          <w:rFonts w:asciiTheme="minorHAnsi" w:hAnsiTheme="minorHAnsi"/>
          <w:szCs w:val="24"/>
          <w:lang w:val="pl-PL"/>
        </w:rPr>
        <w:t>, zwłaszcza w sprawach</w:t>
      </w:r>
      <w:r w:rsidR="00B65C7C">
        <w:rPr>
          <w:rFonts w:asciiTheme="minorHAnsi" w:hAnsiTheme="minorHAnsi"/>
          <w:szCs w:val="24"/>
          <w:lang w:val="pl-PL"/>
        </w:rPr>
        <w:t>,</w:t>
      </w:r>
      <w:r>
        <w:rPr>
          <w:rFonts w:asciiTheme="minorHAnsi" w:hAnsiTheme="minorHAnsi"/>
          <w:szCs w:val="24"/>
          <w:lang w:val="pl-PL"/>
        </w:rPr>
        <w:t xml:space="preserve"> gdzie przedmiotem naruszenia </w:t>
      </w:r>
      <w:r w:rsidR="00515255">
        <w:rPr>
          <w:rFonts w:asciiTheme="minorHAnsi" w:hAnsiTheme="minorHAnsi"/>
          <w:szCs w:val="24"/>
          <w:lang w:val="pl-PL"/>
        </w:rPr>
        <w:t>byłyby kwestie dotyczące wynalazków, wzorów użytkowych czy wzorów przemysłowych. Omawiana była tematyka udziału sędziów technicznych</w:t>
      </w:r>
      <w:r w:rsidR="00B65C7C">
        <w:rPr>
          <w:rFonts w:asciiTheme="minorHAnsi" w:hAnsiTheme="minorHAnsi"/>
          <w:szCs w:val="24"/>
          <w:lang w:val="pl-PL"/>
        </w:rPr>
        <w:t>, któr</w:t>
      </w:r>
      <w:r w:rsidR="00755D9B">
        <w:rPr>
          <w:rFonts w:asciiTheme="minorHAnsi" w:hAnsiTheme="minorHAnsi"/>
          <w:szCs w:val="24"/>
          <w:lang w:val="pl-PL"/>
        </w:rPr>
        <w:t>zy występują</w:t>
      </w:r>
      <w:r w:rsidR="00515255">
        <w:rPr>
          <w:rFonts w:asciiTheme="minorHAnsi" w:hAnsiTheme="minorHAnsi"/>
          <w:szCs w:val="24"/>
          <w:lang w:val="pl-PL"/>
        </w:rPr>
        <w:t xml:space="preserve"> w modelu niemieckim </w:t>
      </w:r>
      <w:r w:rsidR="00755D9B">
        <w:rPr>
          <w:rFonts w:asciiTheme="minorHAnsi" w:hAnsiTheme="minorHAnsi"/>
          <w:szCs w:val="24"/>
          <w:lang w:val="pl-PL"/>
        </w:rPr>
        <w:t>w</w:t>
      </w:r>
      <w:r w:rsidR="00515255">
        <w:rPr>
          <w:rFonts w:asciiTheme="minorHAnsi" w:hAnsiTheme="minorHAnsi"/>
          <w:szCs w:val="24"/>
          <w:lang w:val="pl-PL"/>
        </w:rPr>
        <w:t xml:space="preserve"> </w:t>
      </w:r>
      <w:r w:rsidR="005C3F50">
        <w:rPr>
          <w:rFonts w:asciiTheme="minorHAnsi" w:hAnsiTheme="minorHAnsi"/>
          <w:szCs w:val="24"/>
          <w:lang w:val="pl-PL"/>
        </w:rPr>
        <w:t xml:space="preserve">Federalnym </w:t>
      </w:r>
      <w:r w:rsidR="00755D9B">
        <w:rPr>
          <w:rFonts w:asciiTheme="minorHAnsi" w:hAnsiTheme="minorHAnsi"/>
          <w:szCs w:val="24"/>
          <w:lang w:val="pl-PL"/>
        </w:rPr>
        <w:t>Sądzie</w:t>
      </w:r>
      <w:r w:rsidR="00515255">
        <w:rPr>
          <w:rFonts w:asciiTheme="minorHAnsi" w:hAnsiTheme="minorHAnsi"/>
          <w:szCs w:val="24"/>
          <w:lang w:val="pl-PL"/>
        </w:rPr>
        <w:t xml:space="preserve"> </w:t>
      </w:r>
      <w:r w:rsidR="005C3F50">
        <w:rPr>
          <w:rFonts w:asciiTheme="minorHAnsi" w:hAnsiTheme="minorHAnsi"/>
          <w:szCs w:val="24"/>
          <w:lang w:val="pl-PL"/>
        </w:rPr>
        <w:t>Patentowym w Monachium i próba aplikowania przyjętych tam rozwiązań na grunt prawa polskiego.</w:t>
      </w:r>
    </w:p>
    <w:p w14:paraId="60718845" w14:textId="77777777" w:rsidR="005C3F50" w:rsidRDefault="005C3F50" w:rsidP="00BE21E1">
      <w:pPr>
        <w:rPr>
          <w:rFonts w:asciiTheme="minorHAnsi" w:hAnsiTheme="minorHAnsi"/>
          <w:szCs w:val="24"/>
          <w:lang w:val="pl-PL"/>
        </w:rPr>
      </w:pPr>
      <w:r>
        <w:rPr>
          <w:rFonts w:asciiTheme="minorHAnsi" w:hAnsiTheme="minorHAnsi"/>
          <w:szCs w:val="24"/>
          <w:lang w:val="pl-PL"/>
        </w:rPr>
        <w:t>Padły również postulaty dotyczące możliwości wyodrębnienia postępowań spornych z postępowań prowadzonych przed Urzędem Patentowym RP i przeniesienie ich do sądów własności intelektualnej. Dostrzeżono jednak problem odrębności postępowań administracyjnych i cywilnych (w kontekście wydawanych decyzji UPRP i możliwości odwołania się do sądów administracyjnych).</w:t>
      </w:r>
    </w:p>
    <w:p w14:paraId="7E85A783" w14:textId="77777777" w:rsidR="005C3F50" w:rsidRDefault="00B74F4E" w:rsidP="00BE21E1">
      <w:pPr>
        <w:rPr>
          <w:rFonts w:asciiTheme="minorHAnsi" w:hAnsiTheme="minorHAnsi"/>
          <w:szCs w:val="24"/>
          <w:lang w:val="pl-PL"/>
        </w:rPr>
      </w:pPr>
      <w:r>
        <w:rPr>
          <w:rFonts w:asciiTheme="minorHAnsi" w:hAnsiTheme="minorHAnsi"/>
          <w:szCs w:val="24"/>
          <w:lang w:val="pl-PL"/>
        </w:rPr>
        <w:t>Dyskusja dotyczyła także powołania Instytutu Biegłych przy PIRP, a zwłaszcza ustalenia jasnych reguł i kryteriów wyboru osób, które mogłyby być wpis</w:t>
      </w:r>
      <w:r w:rsidR="006A2050">
        <w:rPr>
          <w:rFonts w:asciiTheme="minorHAnsi" w:hAnsiTheme="minorHAnsi"/>
          <w:szCs w:val="24"/>
          <w:lang w:val="pl-PL"/>
        </w:rPr>
        <w:t xml:space="preserve">ane na listę takiego Instytutu. Powstanie takiego Instytutu mogłoby przełożyć się bezpośrednio na </w:t>
      </w:r>
      <w:r w:rsidR="00755D9B">
        <w:rPr>
          <w:rFonts w:asciiTheme="minorHAnsi" w:hAnsiTheme="minorHAnsi"/>
          <w:szCs w:val="24"/>
          <w:lang w:val="pl-PL"/>
        </w:rPr>
        <w:t xml:space="preserve">lepszą jakość wydawanych opinii w sprawach IP, oraz na </w:t>
      </w:r>
      <w:r w:rsidR="006A2050">
        <w:rPr>
          <w:rFonts w:asciiTheme="minorHAnsi" w:hAnsiTheme="minorHAnsi"/>
          <w:szCs w:val="24"/>
          <w:lang w:val="pl-PL"/>
        </w:rPr>
        <w:t>budowanie dobrego wizerunku rzecznika patentowego jako eksperta –</w:t>
      </w:r>
      <w:r w:rsidR="00755D9B">
        <w:rPr>
          <w:rFonts w:asciiTheme="minorHAnsi" w:hAnsiTheme="minorHAnsi"/>
          <w:szCs w:val="24"/>
          <w:lang w:val="pl-PL"/>
        </w:rPr>
        <w:t xml:space="preserve"> biegłego z zakresu UP a także na wizerunek</w:t>
      </w:r>
      <w:r w:rsidR="006A2050">
        <w:rPr>
          <w:rFonts w:asciiTheme="minorHAnsi" w:hAnsiTheme="minorHAnsi"/>
          <w:szCs w:val="24"/>
          <w:lang w:val="pl-PL"/>
        </w:rPr>
        <w:t xml:space="preserve"> </w:t>
      </w:r>
      <w:r w:rsidR="00755D9B">
        <w:rPr>
          <w:rFonts w:asciiTheme="minorHAnsi" w:hAnsiTheme="minorHAnsi"/>
          <w:szCs w:val="24"/>
          <w:lang w:val="pl-PL"/>
        </w:rPr>
        <w:t>PIRP</w:t>
      </w:r>
      <w:r w:rsidR="006A2050">
        <w:rPr>
          <w:rFonts w:asciiTheme="minorHAnsi" w:hAnsiTheme="minorHAnsi"/>
          <w:szCs w:val="24"/>
          <w:lang w:val="pl-PL"/>
        </w:rPr>
        <w:t xml:space="preserve"> jako takiej. </w:t>
      </w:r>
    </w:p>
    <w:p w14:paraId="687854BB" w14:textId="77777777" w:rsidR="006A2050" w:rsidRDefault="006A2050" w:rsidP="00BE21E1">
      <w:pPr>
        <w:rPr>
          <w:rFonts w:asciiTheme="minorHAnsi" w:hAnsiTheme="minorHAnsi"/>
          <w:szCs w:val="24"/>
          <w:lang w:val="pl-PL"/>
        </w:rPr>
      </w:pPr>
    </w:p>
    <w:p w14:paraId="6B578BC8" w14:textId="77777777" w:rsidR="00576790" w:rsidRDefault="003D7AB0" w:rsidP="00BE21E1">
      <w:pPr>
        <w:rPr>
          <w:rFonts w:asciiTheme="minorHAnsi" w:hAnsiTheme="minorHAnsi"/>
          <w:szCs w:val="24"/>
          <w:lang w:val="pl-PL"/>
        </w:rPr>
      </w:pPr>
      <w:r>
        <w:rPr>
          <w:rFonts w:asciiTheme="minorHAnsi" w:hAnsiTheme="minorHAnsi"/>
          <w:szCs w:val="24"/>
          <w:lang w:val="pl-PL"/>
        </w:rPr>
        <w:t>Poruszana</w:t>
      </w:r>
      <w:r w:rsidR="006A2050">
        <w:rPr>
          <w:rFonts w:asciiTheme="minorHAnsi" w:hAnsiTheme="minorHAnsi"/>
          <w:szCs w:val="24"/>
          <w:lang w:val="pl-PL"/>
        </w:rPr>
        <w:t xml:space="preserve"> został</w:t>
      </w:r>
      <w:r>
        <w:rPr>
          <w:rFonts w:asciiTheme="minorHAnsi" w:hAnsiTheme="minorHAnsi"/>
          <w:szCs w:val="24"/>
          <w:lang w:val="pl-PL"/>
        </w:rPr>
        <w:t>a</w:t>
      </w:r>
      <w:r w:rsidR="006A2050">
        <w:rPr>
          <w:rFonts w:asciiTheme="minorHAnsi" w:hAnsiTheme="minorHAnsi"/>
          <w:szCs w:val="24"/>
          <w:lang w:val="pl-PL"/>
        </w:rPr>
        <w:t xml:space="preserve"> </w:t>
      </w:r>
      <w:r>
        <w:rPr>
          <w:rFonts w:asciiTheme="minorHAnsi" w:hAnsiTheme="minorHAnsi"/>
          <w:szCs w:val="24"/>
          <w:lang w:val="pl-PL"/>
        </w:rPr>
        <w:t>problematyka</w:t>
      </w:r>
      <w:r w:rsidR="006A2050">
        <w:rPr>
          <w:rFonts w:asciiTheme="minorHAnsi" w:hAnsiTheme="minorHAnsi"/>
          <w:szCs w:val="24"/>
          <w:lang w:val="pl-PL"/>
        </w:rPr>
        <w:t xml:space="preserve"> dalszych działań legislacyjnych zmierzających do rozszerzania uprawnień rzeczników patentowych o prowadzenie spraw karnych z zakresu IP. Omówiono praktyczne problemy rzeczników</w:t>
      </w:r>
      <w:r w:rsidR="00953E6C">
        <w:rPr>
          <w:rFonts w:asciiTheme="minorHAnsi" w:hAnsiTheme="minorHAnsi"/>
          <w:szCs w:val="24"/>
          <w:lang w:val="pl-PL"/>
        </w:rPr>
        <w:t xml:space="preserve"> patentowych</w:t>
      </w:r>
      <w:r w:rsidR="006A2050">
        <w:rPr>
          <w:rFonts w:asciiTheme="minorHAnsi" w:hAnsiTheme="minorHAnsi"/>
          <w:szCs w:val="24"/>
          <w:lang w:val="pl-PL"/>
        </w:rPr>
        <w:t xml:space="preserve">, którzy formalnie </w:t>
      </w:r>
      <w:r w:rsidR="00953E6C">
        <w:rPr>
          <w:rFonts w:asciiTheme="minorHAnsi" w:hAnsiTheme="minorHAnsi"/>
          <w:szCs w:val="24"/>
          <w:lang w:val="pl-PL"/>
        </w:rPr>
        <w:t xml:space="preserve">nie mogą występować przed sądami karnymi w sprawach dotyczących przestępstw z zakresu IP mimo, że posiadają stosowną wiedzę, niejednokrotnie większą </w:t>
      </w:r>
      <w:r w:rsidR="00775469">
        <w:rPr>
          <w:rFonts w:asciiTheme="minorHAnsi" w:hAnsiTheme="minorHAnsi"/>
          <w:szCs w:val="24"/>
          <w:lang w:val="pl-PL"/>
        </w:rPr>
        <w:t>niż inni pełnomocnicy</w:t>
      </w:r>
      <w:r w:rsidR="007906F0">
        <w:rPr>
          <w:rFonts w:asciiTheme="minorHAnsi" w:hAnsiTheme="minorHAnsi"/>
          <w:szCs w:val="24"/>
          <w:lang w:val="pl-PL"/>
        </w:rPr>
        <w:t xml:space="preserve"> procesowi</w:t>
      </w:r>
      <w:r w:rsidR="00775469">
        <w:rPr>
          <w:rFonts w:asciiTheme="minorHAnsi" w:hAnsiTheme="minorHAnsi"/>
          <w:szCs w:val="24"/>
          <w:lang w:val="pl-PL"/>
        </w:rPr>
        <w:t xml:space="preserve">. Posiadanie uprawnień </w:t>
      </w:r>
      <w:r w:rsidR="007906F0">
        <w:rPr>
          <w:rFonts w:asciiTheme="minorHAnsi" w:hAnsiTheme="minorHAnsi"/>
          <w:szCs w:val="24"/>
          <w:lang w:val="pl-PL"/>
        </w:rPr>
        <w:t xml:space="preserve">do prowadzenia tego typu spraw, </w:t>
      </w:r>
      <w:r w:rsidR="00775469">
        <w:rPr>
          <w:rFonts w:asciiTheme="minorHAnsi" w:hAnsiTheme="minorHAnsi"/>
          <w:szCs w:val="24"/>
          <w:lang w:val="pl-PL"/>
        </w:rPr>
        <w:t xml:space="preserve">wpłynęłoby nie tylko na lepszą </w:t>
      </w:r>
      <w:r w:rsidR="00757640">
        <w:rPr>
          <w:rFonts w:asciiTheme="minorHAnsi" w:hAnsiTheme="minorHAnsi"/>
          <w:szCs w:val="24"/>
          <w:lang w:val="pl-PL"/>
        </w:rPr>
        <w:t xml:space="preserve">i skuteczniejszą </w:t>
      </w:r>
      <w:r w:rsidR="00775469">
        <w:rPr>
          <w:rFonts w:asciiTheme="minorHAnsi" w:hAnsiTheme="minorHAnsi"/>
          <w:szCs w:val="24"/>
          <w:lang w:val="pl-PL"/>
        </w:rPr>
        <w:t xml:space="preserve">reprezentację klientów (wszystkie sprawy byłyby skupione przy jednym pełnomocniku), ale również pozwoliłoby na ograniczenie kosztów prowadzenia spraw cywilnych i karnych przez różnych pełnomocników. </w:t>
      </w:r>
    </w:p>
    <w:p w14:paraId="189A6F8B" w14:textId="77777777" w:rsidR="005D405F" w:rsidRDefault="00576790" w:rsidP="00BE21E1">
      <w:pPr>
        <w:rPr>
          <w:rFonts w:asciiTheme="minorHAnsi" w:hAnsiTheme="minorHAnsi"/>
          <w:szCs w:val="24"/>
          <w:lang w:val="pl-PL"/>
        </w:rPr>
      </w:pPr>
      <w:r>
        <w:rPr>
          <w:rFonts w:asciiTheme="minorHAnsi" w:hAnsiTheme="minorHAnsi"/>
          <w:szCs w:val="24"/>
          <w:lang w:val="pl-PL"/>
        </w:rPr>
        <w:t xml:space="preserve">W związku z pojawiającymi się głosami dotyczącymi zasadności wprowadzenia zasad odpłatności za wykonywane funkcje w organach dyscyplinarnych, omówiono ten problem w szerszym kontekście </w:t>
      </w:r>
      <w:r w:rsidR="000F2EC2">
        <w:rPr>
          <w:rFonts w:asciiTheme="minorHAnsi" w:hAnsiTheme="minorHAnsi"/>
          <w:szCs w:val="24"/>
          <w:lang w:val="pl-PL"/>
        </w:rPr>
        <w:t xml:space="preserve">– w odniesieniu do wszystkich organów PIRP i wskazano, że z uwagi na przyjęty od wielu lat model społecznej pracy członków samorządu w strukturach PIRP, trudno byłoby na obecnym etapie  wprowadzić takie zmiany, choć oczywiście temat </w:t>
      </w:r>
      <w:r w:rsidR="005D405F">
        <w:rPr>
          <w:rFonts w:asciiTheme="minorHAnsi" w:hAnsiTheme="minorHAnsi"/>
          <w:szCs w:val="24"/>
          <w:lang w:val="pl-PL"/>
        </w:rPr>
        <w:t>wymaga zapewne dalszych dyskusji w samorządzie.</w:t>
      </w:r>
    </w:p>
    <w:p w14:paraId="77B5F2F2" w14:textId="77777777" w:rsidR="000B0605" w:rsidRDefault="005D405F" w:rsidP="00BE21E1">
      <w:pPr>
        <w:rPr>
          <w:rFonts w:asciiTheme="minorHAnsi" w:hAnsiTheme="minorHAnsi"/>
          <w:szCs w:val="24"/>
          <w:lang w:val="pl-PL"/>
        </w:rPr>
      </w:pPr>
      <w:r>
        <w:rPr>
          <w:rFonts w:asciiTheme="minorHAnsi" w:hAnsiTheme="minorHAnsi"/>
          <w:szCs w:val="24"/>
          <w:lang w:val="pl-PL"/>
        </w:rPr>
        <w:t>Wskazano także, że pomysłem do rozważenia</w:t>
      </w:r>
      <w:r w:rsidR="00757640">
        <w:rPr>
          <w:rFonts w:asciiTheme="minorHAnsi" w:hAnsiTheme="minorHAnsi"/>
          <w:szCs w:val="24"/>
          <w:lang w:val="pl-PL"/>
        </w:rPr>
        <w:t xml:space="preserve"> w dalszych pracach legislacyjnych,</w:t>
      </w:r>
      <w:r>
        <w:rPr>
          <w:rFonts w:asciiTheme="minorHAnsi" w:hAnsiTheme="minorHAnsi"/>
          <w:szCs w:val="24"/>
          <w:lang w:val="pl-PL"/>
        </w:rPr>
        <w:t xml:space="preserve"> byłoby uregulowanie w stosownych przepisach (w tym w ustawie o rzecznikach patentowych) kwestii dotyczących dopuszczalności sporządzania wycen z zakresu IP</w:t>
      </w:r>
      <w:r w:rsidR="000B0605">
        <w:rPr>
          <w:rFonts w:asciiTheme="minorHAnsi" w:hAnsiTheme="minorHAnsi"/>
          <w:szCs w:val="24"/>
          <w:lang w:val="pl-PL"/>
        </w:rPr>
        <w:t xml:space="preserve"> przez rzeczników patentowych</w:t>
      </w:r>
      <w:r>
        <w:rPr>
          <w:rFonts w:asciiTheme="minorHAnsi" w:hAnsiTheme="minorHAnsi"/>
          <w:szCs w:val="24"/>
          <w:lang w:val="pl-PL"/>
        </w:rPr>
        <w:t xml:space="preserve">. Wprawdzie obecnie obowiązujące przepisy nie zakazują rzecznikom patentowym sporządzania takich wycen, jednakże zauważono w trakcie dyskusji konieczność uregulowania </w:t>
      </w:r>
      <w:r w:rsidR="000B0605">
        <w:rPr>
          <w:rFonts w:asciiTheme="minorHAnsi" w:hAnsiTheme="minorHAnsi"/>
          <w:szCs w:val="24"/>
          <w:lang w:val="pl-PL"/>
        </w:rPr>
        <w:t>tej materii</w:t>
      </w:r>
      <w:r>
        <w:rPr>
          <w:rFonts w:asciiTheme="minorHAnsi" w:hAnsiTheme="minorHAnsi"/>
          <w:szCs w:val="24"/>
          <w:lang w:val="pl-PL"/>
        </w:rPr>
        <w:t>, aby usunąć wszelkie wątpliwości.</w:t>
      </w:r>
    </w:p>
    <w:p w14:paraId="1A362ABF" w14:textId="77777777" w:rsidR="00C942B8" w:rsidRDefault="000B0605" w:rsidP="00BE21E1">
      <w:pPr>
        <w:rPr>
          <w:rFonts w:asciiTheme="minorHAnsi" w:hAnsiTheme="minorHAnsi"/>
          <w:szCs w:val="24"/>
          <w:lang w:val="pl-PL"/>
        </w:rPr>
      </w:pPr>
      <w:r>
        <w:rPr>
          <w:rFonts w:asciiTheme="minorHAnsi" w:hAnsiTheme="minorHAnsi"/>
          <w:szCs w:val="24"/>
          <w:lang w:val="pl-PL"/>
        </w:rPr>
        <w:t>Dostrzeżono problem związany z zastępstwem procesowym p</w:t>
      </w:r>
      <w:r w:rsidR="00286BBB">
        <w:rPr>
          <w:rFonts w:asciiTheme="minorHAnsi" w:hAnsiTheme="minorHAnsi"/>
          <w:szCs w:val="24"/>
          <w:lang w:val="pl-PL"/>
        </w:rPr>
        <w:t>omiędzy pełnomocnikami adwokat - radca a</w:t>
      </w:r>
      <w:r>
        <w:rPr>
          <w:rFonts w:asciiTheme="minorHAnsi" w:hAnsiTheme="minorHAnsi"/>
          <w:szCs w:val="24"/>
          <w:lang w:val="pl-PL"/>
        </w:rPr>
        <w:t xml:space="preserve"> rzecznik</w:t>
      </w:r>
      <w:r w:rsidR="00286BBB">
        <w:rPr>
          <w:rFonts w:asciiTheme="minorHAnsi" w:hAnsiTheme="minorHAnsi"/>
          <w:szCs w:val="24"/>
          <w:lang w:val="pl-PL"/>
        </w:rPr>
        <w:t xml:space="preserve"> patentowy</w:t>
      </w:r>
      <w:r>
        <w:rPr>
          <w:rFonts w:asciiTheme="minorHAnsi" w:hAnsiTheme="minorHAnsi"/>
          <w:szCs w:val="24"/>
          <w:lang w:val="pl-PL"/>
        </w:rPr>
        <w:t>. Wskazano, że obecne przepisy uniemożliwiają udzielenie pełnomocnictwa substytucyjnego pomiędzy rzecznikami a adwokatami i radcami prawnymi</w:t>
      </w:r>
      <w:r w:rsidR="00286BBB">
        <w:rPr>
          <w:rFonts w:asciiTheme="minorHAnsi" w:hAnsiTheme="minorHAnsi"/>
          <w:szCs w:val="24"/>
          <w:lang w:val="pl-PL"/>
        </w:rPr>
        <w:t xml:space="preserve"> w sprawach własności przemysłowej (a za chwilę również w sprawach własności intelektualnej w związku z rozszerzeniem uprawnień rzeczników patentowych chociażby w sprawach z zakresu prawa autorskiego)</w:t>
      </w:r>
      <w:r>
        <w:rPr>
          <w:rFonts w:asciiTheme="minorHAnsi" w:hAnsiTheme="minorHAnsi"/>
          <w:szCs w:val="24"/>
          <w:lang w:val="pl-PL"/>
        </w:rPr>
        <w:t>, co niejednokrotnie utrudnia prowadzenie postępowań sądowych.</w:t>
      </w:r>
    </w:p>
    <w:p w14:paraId="2B12AC8B" w14:textId="77777777" w:rsidR="00DC3EF4" w:rsidRDefault="00C942B8" w:rsidP="00BE21E1">
      <w:pPr>
        <w:rPr>
          <w:rFonts w:asciiTheme="minorHAnsi" w:hAnsiTheme="minorHAnsi"/>
          <w:szCs w:val="24"/>
          <w:lang w:val="pl-PL"/>
        </w:rPr>
      </w:pPr>
      <w:r>
        <w:rPr>
          <w:rFonts w:asciiTheme="minorHAnsi" w:hAnsiTheme="minorHAnsi"/>
          <w:szCs w:val="24"/>
          <w:lang w:val="pl-PL"/>
        </w:rPr>
        <w:t>Poruszano</w:t>
      </w:r>
      <w:r w:rsidR="00962086">
        <w:rPr>
          <w:rFonts w:asciiTheme="minorHAnsi" w:hAnsiTheme="minorHAnsi"/>
          <w:szCs w:val="24"/>
          <w:lang w:val="pl-PL"/>
        </w:rPr>
        <w:t xml:space="preserve"> także postulat, aby wprowadzone zostały </w:t>
      </w:r>
      <w:r>
        <w:rPr>
          <w:rFonts w:asciiTheme="minorHAnsi" w:hAnsiTheme="minorHAnsi"/>
          <w:szCs w:val="24"/>
          <w:lang w:val="pl-PL"/>
        </w:rPr>
        <w:t xml:space="preserve">wytyczne Prezesa Urzędu Patentowego RP, co </w:t>
      </w:r>
      <w:r w:rsidR="00962086">
        <w:rPr>
          <w:rFonts w:asciiTheme="minorHAnsi" w:hAnsiTheme="minorHAnsi"/>
          <w:szCs w:val="24"/>
          <w:lang w:val="pl-PL"/>
        </w:rPr>
        <w:t>pozwoliłoby na</w:t>
      </w:r>
      <w:r>
        <w:rPr>
          <w:rFonts w:asciiTheme="minorHAnsi" w:hAnsiTheme="minorHAnsi"/>
          <w:szCs w:val="24"/>
          <w:lang w:val="pl-PL"/>
        </w:rPr>
        <w:t xml:space="preserve"> ujednolicenie </w:t>
      </w:r>
      <w:r w:rsidR="00962086">
        <w:rPr>
          <w:rFonts w:asciiTheme="minorHAnsi" w:hAnsiTheme="minorHAnsi"/>
          <w:szCs w:val="24"/>
          <w:lang w:val="pl-PL"/>
        </w:rPr>
        <w:t xml:space="preserve">czasami różnej </w:t>
      </w:r>
      <w:r>
        <w:rPr>
          <w:rFonts w:asciiTheme="minorHAnsi" w:hAnsiTheme="minorHAnsi"/>
          <w:szCs w:val="24"/>
          <w:lang w:val="pl-PL"/>
        </w:rPr>
        <w:t>prakty</w:t>
      </w:r>
      <w:r w:rsidR="00962086">
        <w:rPr>
          <w:rFonts w:asciiTheme="minorHAnsi" w:hAnsiTheme="minorHAnsi"/>
          <w:szCs w:val="24"/>
          <w:lang w:val="pl-PL"/>
        </w:rPr>
        <w:t xml:space="preserve">ki ekspertów w kontekście uzyskiwania praw własności przemysłowej. Zdarzają się bowiem sytuacje, że w zależności do którego eksperta </w:t>
      </w:r>
      <w:r w:rsidR="0057647E">
        <w:rPr>
          <w:rFonts w:asciiTheme="minorHAnsi" w:hAnsiTheme="minorHAnsi"/>
          <w:szCs w:val="24"/>
          <w:lang w:val="pl-PL"/>
        </w:rPr>
        <w:t xml:space="preserve">UPRP </w:t>
      </w:r>
      <w:r w:rsidR="00962086">
        <w:rPr>
          <w:rFonts w:asciiTheme="minorHAnsi" w:hAnsiTheme="minorHAnsi"/>
          <w:szCs w:val="24"/>
          <w:lang w:val="pl-PL"/>
        </w:rPr>
        <w:t xml:space="preserve">trafia </w:t>
      </w:r>
      <w:r w:rsidR="0057647E">
        <w:rPr>
          <w:rFonts w:asciiTheme="minorHAnsi" w:hAnsiTheme="minorHAnsi"/>
          <w:szCs w:val="24"/>
          <w:lang w:val="pl-PL"/>
        </w:rPr>
        <w:t>zgłoszenie</w:t>
      </w:r>
      <w:r w:rsidR="00962086">
        <w:rPr>
          <w:rFonts w:asciiTheme="minorHAnsi" w:hAnsiTheme="minorHAnsi"/>
          <w:szCs w:val="24"/>
          <w:lang w:val="pl-PL"/>
        </w:rPr>
        <w:t xml:space="preserve"> </w:t>
      </w:r>
      <w:r w:rsidR="0057647E">
        <w:rPr>
          <w:rFonts w:asciiTheme="minorHAnsi" w:hAnsiTheme="minorHAnsi"/>
          <w:szCs w:val="24"/>
          <w:lang w:val="pl-PL"/>
        </w:rPr>
        <w:t>przedmiotu</w:t>
      </w:r>
      <w:r w:rsidR="00962086">
        <w:rPr>
          <w:rFonts w:asciiTheme="minorHAnsi" w:hAnsiTheme="minorHAnsi"/>
          <w:szCs w:val="24"/>
          <w:lang w:val="pl-PL"/>
        </w:rPr>
        <w:t xml:space="preserve"> własności przemysłowej </w:t>
      </w:r>
      <w:r w:rsidR="0057647E">
        <w:rPr>
          <w:rFonts w:asciiTheme="minorHAnsi" w:hAnsiTheme="minorHAnsi"/>
          <w:szCs w:val="24"/>
          <w:lang w:val="pl-PL"/>
        </w:rPr>
        <w:t xml:space="preserve">do ochrony </w:t>
      </w:r>
      <w:r w:rsidR="00962086">
        <w:rPr>
          <w:rFonts w:asciiTheme="minorHAnsi" w:hAnsiTheme="minorHAnsi"/>
          <w:szCs w:val="24"/>
          <w:lang w:val="pl-PL"/>
        </w:rPr>
        <w:t xml:space="preserve">(zwłaszcza </w:t>
      </w:r>
      <w:r w:rsidR="0057647E">
        <w:rPr>
          <w:rFonts w:asciiTheme="minorHAnsi" w:hAnsiTheme="minorHAnsi"/>
          <w:szCs w:val="24"/>
          <w:lang w:val="pl-PL"/>
        </w:rPr>
        <w:t xml:space="preserve">w kontekście uzyskiwania </w:t>
      </w:r>
      <w:r w:rsidR="00962086">
        <w:rPr>
          <w:rFonts w:asciiTheme="minorHAnsi" w:hAnsiTheme="minorHAnsi"/>
          <w:szCs w:val="24"/>
          <w:lang w:val="pl-PL"/>
        </w:rPr>
        <w:t>patentu na wynalazek)</w:t>
      </w:r>
      <w:r w:rsidR="0057647E">
        <w:rPr>
          <w:rFonts w:asciiTheme="minorHAnsi" w:hAnsiTheme="minorHAnsi"/>
          <w:szCs w:val="24"/>
          <w:lang w:val="pl-PL"/>
        </w:rPr>
        <w:t>, zgłoszenie to jest oceniane różny w sposób, co nie powinno mieć miejsca.</w:t>
      </w:r>
    </w:p>
    <w:p w14:paraId="06720B18" w14:textId="77777777" w:rsidR="00DC3EF4" w:rsidRDefault="00DC3EF4" w:rsidP="00BE21E1">
      <w:pPr>
        <w:rPr>
          <w:rFonts w:asciiTheme="minorHAnsi" w:hAnsiTheme="minorHAnsi"/>
          <w:szCs w:val="24"/>
          <w:lang w:val="pl-PL"/>
        </w:rPr>
      </w:pPr>
      <w:r>
        <w:rPr>
          <w:rFonts w:asciiTheme="minorHAnsi" w:hAnsiTheme="minorHAnsi"/>
          <w:szCs w:val="24"/>
          <w:lang w:val="pl-PL"/>
        </w:rPr>
        <w:t>Paweł Kurcman</w:t>
      </w:r>
    </w:p>
    <w:p w14:paraId="60204CD7" w14:textId="77777777" w:rsidR="00DC3EF4" w:rsidRPr="00197576" w:rsidRDefault="00DC3EF4" w:rsidP="00BE21E1">
      <w:pPr>
        <w:rPr>
          <w:rFonts w:asciiTheme="minorHAnsi" w:hAnsiTheme="minorHAnsi"/>
          <w:szCs w:val="24"/>
          <w:lang w:val="pl-PL"/>
        </w:rPr>
      </w:pPr>
      <w:r>
        <w:rPr>
          <w:rFonts w:asciiTheme="minorHAnsi" w:hAnsiTheme="minorHAnsi"/>
          <w:szCs w:val="24"/>
          <w:lang w:val="pl-PL"/>
        </w:rPr>
        <w:t>Przewodniczący Zespołu Legislacyjnego</w:t>
      </w:r>
    </w:p>
    <w:sectPr w:rsidR="00DC3EF4" w:rsidRPr="00197576" w:rsidSect="0008301F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7397AD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397AD1" w16cid:durableId="21E13C5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7013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AF9280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C3B70DD"/>
    <w:multiLevelType w:val="multilevel"/>
    <w:tmpl w:val="D4403B8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109C755E"/>
    <w:multiLevelType w:val="hybridMultilevel"/>
    <w:tmpl w:val="EB4671DC"/>
    <w:lvl w:ilvl="0" w:tplc="0CB83F7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17F23"/>
    <w:multiLevelType w:val="hybridMultilevel"/>
    <w:tmpl w:val="8C96D3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92F4A"/>
    <w:multiLevelType w:val="hybridMultilevel"/>
    <w:tmpl w:val="F202EF22"/>
    <w:lvl w:ilvl="0" w:tplc="AFFE3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54B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BDB51ED"/>
    <w:multiLevelType w:val="hybridMultilevel"/>
    <w:tmpl w:val="BD12D7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B4F73"/>
    <w:multiLevelType w:val="hybridMultilevel"/>
    <w:tmpl w:val="64B8535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55E96"/>
    <w:multiLevelType w:val="hybridMultilevel"/>
    <w:tmpl w:val="BAFCC5A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32774F"/>
    <w:multiLevelType w:val="multilevel"/>
    <w:tmpl w:val="33E403BE"/>
    <w:lvl w:ilvl="0">
      <w:start w:val="1"/>
      <w:numFmt w:val="decimal"/>
      <w:pStyle w:val="Nagwek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1440" w:firstLine="0"/>
      </w:pPr>
      <w:rPr>
        <w:rFonts w:hint="default"/>
      </w:rPr>
    </w:lvl>
    <w:lvl w:ilvl="3">
      <w:start w:val="1"/>
      <w:numFmt w:val="decimal"/>
      <w:pStyle w:val="Nagwek4"/>
      <w:lvlText w:val="%1.%2.%3.%4.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Nagwek5"/>
      <w:lvlText w:val="%1.%2.%3.%4.%5 "/>
      <w:lvlJc w:val="left"/>
      <w:pPr>
        <w:ind w:left="2880" w:firstLine="0"/>
      </w:pPr>
      <w:rPr>
        <w:rFonts w:hint="default"/>
      </w:rPr>
    </w:lvl>
    <w:lvl w:ilvl="5">
      <w:start w:val="1"/>
      <w:numFmt w:val="decimal"/>
      <w:pStyle w:val="Nagwek6"/>
      <w:lvlText w:val="%1.%2.%3.%4.%5.%6 "/>
      <w:lvlJc w:val="left"/>
      <w:pPr>
        <w:ind w:left="3600" w:firstLine="0"/>
      </w:pPr>
      <w:rPr>
        <w:rFonts w:hint="default"/>
      </w:rPr>
    </w:lvl>
    <w:lvl w:ilvl="6">
      <w:start w:val="1"/>
      <w:numFmt w:val="decimal"/>
      <w:lvlText w:val="%1.%2.%3.%4.%5.%6.%7. 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1">
    <w:nsid w:val="2CF2024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5C460F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41E07EC"/>
    <w:multiLevelType w:val="hybridMultilevel"/>
    <w:tmpl w:val="46102D3E"/>
    <w:lvl w:ilvl="0" w:tplc="AFFE3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7B3482"/>
    <w:multiLevelType w:val="multilevel"/>
    <w:tmpl w:val="304AD34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45AF0FF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7C920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8F65B13"/>
    <w:multiLevelType w:val="hybridMultilevel"/>
    <w:tmpl w:val="48B0D630"/>
    <w:lvl w:ilvl="0" w:tplc="AFFE3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9F241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A6D7FF4"/>
    <w:multiLevelType w:val="multilevel"/>
    <w:tmpl w:val="C3563A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>
    <w:nsid w:val="4BEE30C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BAC1F74"/>
    <w:multiLevelType w:val="hybridMultilevel"/>
    <w:tmpl w:val="985C68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9E1E1E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>
    <w:nsid w:val="62575F12"/>
    <w:multiLevelType w:val="hybridMultilevel"/>
    <w:tmpl w:val="2292AC0E"/>
    <w:lvl w:ilvl="0" w:tplc="AFFE3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FB709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2BE3FB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2F331E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61C5316"/>
    <w:multiLevelType w:val="hybridMultilevel"/>
    <w:tmpl w:val="D0A01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E108C1"/>
    <w:multiLevelType w:val="hybridMultilevel"/>
    <w:tmpl w:val="13F60454"/>
    <w:lvl w:ilvl="0" w:tplc="AFFE3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E27D09"/>
    <w:multiLevelType w:val="hybridMultilevel"/>
    <w:tmpl w:val="0714ED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B74316"/>
    <w:multiLevelType w:val="multilevel"/>
    <w:tmpl w:val="F4BC52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1">
    <w:nsid w:val="7F2741FA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2"/>
  </w:num>
  <w:num w:numId="2">
    <w:abstractNumId w:val="2"/>
  </w:num>
  <w:num w:numId="3">
    <w:abstractNumId w:val="26"/>
  </w:num>
  <w:num w:numId="4">
    <w:abstractNumId w:val="6"/>
  </w:num>
  <w:num w:numId="5">
    <w:abstractNumId w:val="1"/>
  </w:num>
  <w:num w:numId="6">
    <w:abstractNumId w:val="14"/>
  </w:num>
  <w:num w:numId="7">
    <w:abstractNumId w:val="16"/>
  </w:num>
  <w:num w:numId="8">
    <w:abstractNumId w:val="0"/>
  </w:num>
  <w:num w:numId="9">
    <w:abstractNumId w:val="18"/>
  </w:num>
  <w:num w:numId="10">
    <w:abstractNumId w:val="19"/>
  </w:num>
  <w:num w:numId="11">
    <w:abstractNumId w:val="20"/>
  </w:num>
  <w:num w:numId="12">
    <w:abstractNumId w:val="12"/>
  </w:num>
  <w:num w:numId="13">
    <w:abstractNumId w:val="24"/>
  </w:num>
  <w:num w:numId="14">
    <w:abstractNumId w:val="15"/>
  </w:num>
  <w:num w:numId="15">
    <w:abstractNumId w:val="3"/>
  </w:num>
  <w:num w:numId="16">
    <w:abstractNumId w:val="11"/>
  </w:num>
  <w:num w:numId="17">
    <w:abstractNumId w:val="25"/>
  </w:num>
  <w:num w:numId="18">
    <w:abstractNumId w:val="31"/>
  </w:num>
  <w:num w:numId="19">
    <w:abstractNumId w:val="30"/>
  </w:num>
  <w:num w:numId="20">
    <w:abstractNumId w:val="10"/>
  </w:num>
  <w:num w:numId="21">
    <w:abstractNumId w:val="8"/>
  </w:num>
  <w:num w:numId="22">
    <w:abstractNumId w:val="9"/>
  </w:num>
  <w:num w:numId="23">
    <w:abstractNumId w:val="7"/>
  </w:num>
  <w:num w:numId="24">
    <w:abstractNumId w:val="29"/>
  </w:num>
  <w:num w:numId="25">
    <w:abstractNumId w:val="21"/>
  </w:num>
  <w:num w:numId="26">
    <w:abstractNumId w:val="5"/>
  </w:num>
  <w:num w:numId="27">
    <w:abstractNumId w:val="17"/>
  </w:num>
  <w:num w:numId="28">
    <w:abstractNumId w:val="23"/>
  </w:num>
  <w:num w:numId="29">
    <w:abstractNumId w:val="13"/>
  </w:num>
  <w:num w:numId="30">
    <w:abstractNumId w:val="4"/>
  </w:num>
  <w:num w:numId="31">
    <w:abstractNumId w:val="28"/>
  </w:num>
  <w:num w:numId="32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bmak">
    <w15:presenceInfo w15:providerId="None" w15:userId="abma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6C4"/>
    <w:rsid w:val="00015789"/>
    <w:rsid w:val="0008301F"/>
    <w:rsid w:val="000B0605"/>
    <w:rsid w:val="000F2EC2"/>
    <w:rsid w:val="000F6EFA"/>
    <w:rsid w:val="00137991"/>
    <w:rsid w:val="00142C0D"/>
    <w:rsid w:val="00161F46"/>
    <w:rsid w:val="00185FB5"/>
    <w:rsid w:val="0019294F"/>
    <w:rsid w:val="001931FC"/>
    <w:rsid w:val="00197576"/>
    <w:rsid w:val="001A08A5"/>
    <w:rsid w:val="001D0036"/>
    <w:rsid w:val="001E71A5"/>
    <w:rsid w:val="001F07F2"/>
    <w:rsid w:val="002338C9"/>
    <w:rsid w:val="00247675"/>
    <w:rsid w:val="00264746"/>
    <w:rsid w:val="00286BBB"/>
    <w:rsid w:val="00292DC2"/>
    <w:rsid w:val="002A490D"/>
    <w:rsid w:val="002C3FC1"/>
    <w:rsid w:val="002D1797"/>
    <w:rsid w:val="002E6570"/>
    <w:rsid w:val="00302325"/>
    <w:rsid w:val="003974DE"/>
    <w:rsid w:val="003D6E9C"/>
    <w:rsid w:val="003D7AB0"/>
    <w:rsid w:val="00412D65"/>
    <w:rsid w:val="00452F35"/>
    <w:rsid w:val="004D6441"/>
    <w:rsid w:val="00515255"/>
    <w:rsid w:val="005201EB"/>
    <w:rsid w:val="00527C21"/>
    <w:rsid w:val="005339AB"/>
    <w:rsid w:val="00556EE8"/>
    <w:rsid w:val="00565C8C"/>
    <w:rsid w:val="0057647E"/>
    <w:rsid w:val="00576790"/>
    <w:rsid w:val="005C3F50"/>
    <w:rsid w:val="005D405F"/>
    <w:rsid w:val="005F1E44"/>
    <w:rsid w:val="006341A4"/>
    <w:rsid w:val="00640571"/>
    <w:rsid w:val="00661394"/>
    <w:rsid w:val="00677D96"/>
    <w:rsid w:val="00693FD7"/>
    <w:rsid w:val="006A2050"/>
    <w:rsid w:val="00755D9B"/>
    <w:rsid w:val="00757640"/>
    <w:rsid w:val="00771529"/>
    <w:rsid w:val="00775469"/>
    <w:rsid w:val="00787D59"/>
    <w:rsid w:val="007906F0"/>
    <w:rsid w:val="007A443E"/>
    <w:rsid w:val="007C28CE"/>
    <w:rsid w:val="008156C4"/>
    <w:rsid w:val="00824D42"/>
    <w:rsid w:val="00854CC5"/>
    <w:rsid w:val="008932BA"/>
    <w:rsid w:val="008977BB"/>
    <w:rsid w:val="00927ADA"/>
    <w:rsid w:val="0093596E"/>
    <w:rsid w:val="009441CC"/>
    <w:rsid w:val="00946B8B"/>
    <w:rsid w:val="00953E6C"/>
    <w:rsid w:val="00960212"/>
    <w:rsid w:val="00962086"/>
    <w:rsid w:val="00992F45"/>
    <w:rsid w:val="009953E7"/>
    <w:rsid w:val="009D200D"/>
    <w:rsid w:val="00A05AC4"/>
    <w:rsid w:val="00A31224"/>
    <w:rsid w:val="00A3538B"/>
    <w:rsid w:val="00A46616"/>
    <w:rsid w:val="00A66E92"/>
    <w:rsid w:val="00A742FF"/>
    <w:rsid w:val="00AA67FD"/>
    <w:rsid w:val="00AB5106"/>
    <w:rsid w:val="00AE6E4F"/>
    <w:rsid w:val="00B0121E"/>
    <w:rsid w:val="00B311DB"/>
    <w:rsid w:val="00B62B3C"/>
    <w:rsid w:val="00B65C7C"/>
    <w:rsid w:val="00B74F4E"/>
    <w:rsid w:val="00B80299"/>
    <w:rsid w:val="00B82AEB"/>
    <w:rsid w:val="00B971B6"/>
    <w:rsid w:val="00BA1606"/>
    <w:rsid w:val="00BD2D42"/>
    <w:rsid w:val="00BE21E1"/>
    <w:rsid w:val="00BE5926"/>
    <w:rsid w:val="00BF332A"/>
    <w:rsid w:val="00BF67BB"/>
    <w:rsid w:val="00C17F57"/>
    <w:rsid w:val="00C4181A"/>
    <w:rsid w:val="00C7516B"/>
    <w:rsid w:val="00C942B8"/>
    <w:rsid w:val="00CA64E0"/>
    <w:rsid w:val="00CA7C6F"/>
    <w:rsid w:val="00CA7F91"/>
    <w:rsid w:val="00CD2B73"/>
    <w:rsid w:val="00CF7275"/>
    <w:rsid w:val="00D25CB5"/>
    <w:rsid w:val="00D4524D"/>
    <w:rsid w:val="00D531FF"/>
    <w:rsid w:val="00D76F6B"/>
    <w:rsid w:val="00D81BE5"/>
    <w:rsid w:val="00D864E6"/>
    <w:rsid w:val="00DB5A01"/>
    <w:rsid w:val="00DC3EF4"/>
    <w:rsid w:val="00DD7BBA"/>
    <w:rsid w:val="00E230D3"/>
    <w:rsid w:val="00E252E3"/>
    <w:rsid w:val="00E314D0"/>
    <w:rsid w:val="00E3459A"/>
    <w:rsid w:val="00E80659"/>
    <w:rsid w:val="00E87876"/>
    <w:rsid w:val="00EB2BC1"/>
    <w:rsid w:val="00EF4DF9"/>
    <w:rsid w:val="00F025AE"/>
    <w:rsid w:val="00F16386"/>
    <w:rsid w:val="00F26C59"/>
    <w:rsid w:val="00F76B0F"/>
    <w:rsid w:val="00F7785D"/>
    <w:rsid w:val="00F83375"/>
    <w:rsid w:val="00F94B5F"/>
    <w:rsid w:val="00FA7033"/>
    <w:rsid w:val="00FB7585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400A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301F"/>
    <w:pPr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F332A"/>
    <w:pPr>
      <w:numPr>
        <w:numId w:val="20"/>
      </w:numPr>
      <w:spacing w:before="480" w:after="12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490D"/>
    <w:pPr>
      <w:numPr>
        <w:ilvl w:val="1"/>
        <w:numId w:val="20"/>
      </w:numPr>
      <w:spacing w:before="200" w:after="0"/>
      <w:ind w:left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490D"/>
    <w:pPr>
      <w:numPr>
        <w:ilvl w:val="2"/>
        <w:numId w:val="20"/>
      </w:numPr>
      <w:spacing w:before="200" w:after="0" w:line="271" w:lineRule="auto"/>
      <w:ind w:left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8301F"/>
    <w:pPr>
      <w:numPr>
        <w:ilvl w:val="3"/>
        <w:numId w:val="20"/>
      </w:numPr>
      <w:spacing w:before="200" w:after="0"/>
      <w:ind w:left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80299"/>
    <w:pPr>
      <w:numPr>
        <w:ilvl w:val="4"/>
        <w:numId w:val="20"/>
      </w:numPr>
      <w:spacing w:before="200" w:after="0"/>
      <w:ind w:left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80299"/>
    <w:pPr>
      <w:numPr>
        <w:ilvl w:val="5"/>
        <w:numId w:val="20"/>
      </w:numPr>
      <w:spacing w:after="0" w:line="271" w:lineRule="auto"/>
      <w:ind w:left="0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3974DE"/>
    <w:pPr>
      <w:numPr>
        <w:ilvl w:val="6"/>
        <w:numId w:val="19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974DE"/>
    <w:pPr>
      <w:numPr>
        <w:ilvl w:val="7"/>
        <w:numId w:val="19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974DE"/>
    <w:pPr>
      <w:numPr>
        <w:ilvl w:val="8"/>
        <w:numId w:val="19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332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A490D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8156C4"/>
    <w:pPr>
      <w:spacing w:after="100"/>
    </w:pPr>
  </w:style>
  <w:style w:type="character" w:customStyle="1" w:styleId="Nagwek3Znak">
    <w:name w:val="Nagłówek 3 Znak"/>
    <w:basedOn w:val="Domylnaczcionkaakapitu"/>
    <w:link w:val="Nagwek3"/>
    <w:uiPriority w:val="9"/>
    <w:rsid w:val="002A490D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08301F"/>
    <w:rPr>
      <w:rFonts w:asciiTheme="majorHAnsi" w:eastAsiaTheme="majorEastAsia" w:hAnsiTheme="majorHAnsi" w:cstheme="majorBidi"/>
      <w:b/>
      <w:bCs/>
      <w:iCs/>
      <w:sz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974DE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412D65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12D65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412D6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D65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B8029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rsid w:val="00B8029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rsid w:val="003974DE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974DE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974D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3974D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974D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974DE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974D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3974DE"/>
    <w:rPr>
      <w:b/>
      <w:bCs/>
    </w:rPr>
  </w:style>
  <w:style w:type="character" w:styleId="Uwydatnienie">
    <w:name w:val="Emphasis"/>
    <w:uiPriority w:val="20"/>
    <w:qFormat/>
    <w:rsid w:val="003974D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3974D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974D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3974DE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974D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974DE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974DE"/>
    <w:rPr>
      <w:b/>
      <w:bCs/>
      <w:i/>
      <w:iCs/>
    </w:rPr>
  </w:style>
  <w:style w:type="character" w:styleId="Wyrnieniedelikatne">
    <w:name w:val="Subtle Emphasis"/>
    <w:uiPriority w:val="19"/>
    <w:qFormat/>
    <w:rsid w:val="003974DE"/>
    <w:rPr>
      <w:i/>
      <w:iCs/>
    </w:rPr>
  </w:style>
  <w:style w:type="character" w:styleId="Wyrnienieintensywne">
    <w:name w:val="Intense Emphasis"/>
    <w:uiPriority w:val="21"/>
    <w:qFormat/>
    <w:rsid w:val="003974DE"/>
    <w:rPr>
      <w:b/>
      <w:bCs/>
    </w:rPr>
  </w:style>
  <w:style w:type="character" w:styleId="Odwoaniedelikatne">
    <w:name w:val="Subtle Reference"/>
    <w:uiPriority w:val="31"/>
    <w:qFormat/>
    <w:rsid w:val="003974DE"/>
    <w:rPr>
      <w:smallCaps/>
    </w:rPr>
  </w:style>
  <w:style w:type="character" w:styleId="Odwoanieintensywne">
    <w:name w:val="Intense Reference"/>
    <w:uiPriority w:val="32"/>
    <w:qFormat/>
    <w:rsid w:val="003974DE"/>
    <w:rPr>
      <w:smallCaps/>
      <w:spacing w:val="5"/>
      <w:u w:val="single"/>
    </w:rPr>
  </w:style>
  <w:style w:type="character" w:styleId="Tytuksiki">
    <w:name w:val="Book Title"/>
    <w:uiPriority w:val="33"/>
    <w:qFormat/>
    <w:rsid w:val="003974DE"/>
    <w:rPr>
      <w:i/>
      <w:iCs/>
      <w:smallCaps/>
      <w:spacing w:val="5"/>
    </w:rPr>
  </w:style>
  <w:style w:type="character" w:customStyle="1" w:styleId="MathematicaFormatTextForm">
    <w:name w:val="MathematicaFormatTextForm"/>
    <w:uiPriority w:val="99"/>
    <w:rsid w:val="0008301F"/>
  </w:style>
  <w:style w:type="paragraph" w:styleId="Legenda">
    <w:name w:val="caption"/>
    <w:basedOn w:val="Normalny"/>
    <w:next w:val="Normalny"/>
    <w:uiPriority w:val="35"/>
    <w:unhideWhenUsed/>
    <w:rsid w:val="0008301F"/>
    <w:pPr>
      <w:spacing w:line="240" w:lineRule="auto"/>
      <w:jc w:val="center"/>
    </w:pPr>
    <w:rPr>
      <w:b/>
      <w:bCs/>
      <w:sz w:val="20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953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53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53E7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53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53E7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301F"/>
    <w:pPr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F332A"/>
    <w:pPr>
      <w:numPr>
        <w:numId w:val="20"/>
      </w:numPr>
      <w:spacing w:before="480" w:after="12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490D"/>
    <w:pPr>
      <w:numPr>
        <w:ilvl w:val="1"/>
        <w:numId w:val="20"/>
      </w:numPr>
      <w:spacing w:before="200" w:after="0"/>
      <w:ind w:left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490D"/>
    <w:pPr>
      <w:numPr>
        <w:ilvl w:val="2"/>
        <w:numId w:val="20"/>
      </w:numPr>
      <w:spacing w:before="200" w:after="0" w:line="271" w:lineRule="auto"/>
      <w:ind w:left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8301F"/>
    <w:pPr>
      <w:numPr>
        <w:ilvl w:val="3"/>
        <w:numId w:val="20"/>
      </w:numPr>
      <w:spacing w:before="200" w:after="0"/>
      <w:ind w:left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80299"/>
    <w:pPr>
      <w:numPr>
        <w:ilvl w:val="4"/>
        <w:numId w:val="20"/>
      </w:numPr>
      <w:spacing w:before="200" w:after="0"/>
      <w:ind w:left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80299"/>
    <w:pPr>
      <w:numPr>
        <w:ilvl w:val="5"/>
        <w:numId w:val="20"/>
      </w:numPr>
      <w:spacing w:after="0" w:line="271" w:lineRule="auto"/>
      <w:ind w:left="0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3974DE"/>
    <w:pPr>
      <w:numPr>
        <w:ilvl w:val="6"/>
        <w:numId w:val="19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974DE"/>
    <w:pPr>
      <w:numPr>
        <w:ilvl w:val="7"/>
        <w:numId w:val="19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974DE"/>
    <w:pPr>
      <w:numPr>
        <w:ilvl w:val="8"/>
        <w:numId w:val="19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F332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A490D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8156C4"/>
    <w:pPr>
      <w:spacing w:after="100"/>
    </w:pPr>
  </w:style>
  <w:style w:type="character" w:customStyle="1" w:styleId="Nagwek3Znak">
    <w:name w:val="Nagłówek 3 Znak"/>
    <w:basedOn w:val="Domylnaczcionkaakapitu"/>
    <w:link w:val="Nagwek3"/>
    <w:uiPriority w:val="9"/>
    <w:rsid w:val="002A490D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08301F"/>
    <w:rPr>
      <w:rFonts w:asciiTheme="majorHAnsi" w:eastAsiaTheme="majorEastAsia" w:hAnsiTheme="majorHAnsi" w:cstheme="majorBidi"/>
      <w:b/>
      <w:bCs/>
      <w:iCs/>
      <w:sz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974DE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412D65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12D65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412D6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2D65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B8029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rsid w:val="00B8029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rsid w:val="003974DE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974DE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974D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3974D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974D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974DE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974D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3974DE"/>
    <w:rPr>
      <w:b/>
      <w:bCs/>
    </w:rPr>
  </w:style>
  <w:style w:type="character" w:styleId="Uwydatnienie">
    <w:name w:val="Emphasis"/>
    <w:uiPriority w:val="20"/>
    <w:qFormat/>
    <w:rsid w:val="003974D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3974D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974D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3974DE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974D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974DE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974DE"/>
    <w:rPr>
      <w:b/>
      <w:bCs/>
      <w:i/>
      <w:iCs/>
    </w:rPr>
  </w:style>
  <w:style w:type="character" w:styleId="Wyrnieniedelikatne">
    <w:name w:val="Subtle Emphasis"/>
    <w:uiPriority w:val="19"/>
    <w:qFormat/>
    <w:rsid w:val="003974DE"/>
    <w:rPr>
      <w:i/>
      <w:iCs/>
    </w:rPr>
  </w:style>
  <w:style w:type="character" w:styleId="Wyrnienieintensywne">
    <w:name w:val="Intense Emphasis"/>
    <w:uiPriority w:val="21"/>
    <w:qFormat/>
    <w:rsid w:val="003974DE"/>
    <w:rPr>
      <w:b/>
      <w:bCs/>
    </w:rPr>
  </w:style>
  <w:style w:type="character" w:styleId="Odwoaniedelikatne">
    <w:name w:val="Subtle Reference"/>
    <w:uiPriority w:val="31"/>
    <w:qFormat/>
    <w:rsid w:val="003974DE"/>
    <w:rPr>
      <w:smallCaps/>
    </w:rPr>
  </w:style>
  <w:style w:type="character" w:styleId="Odwoanieintensywne">
    <w:name w:val="Intense Reference"/>
    <w:uiPriority w:val="32"/>
    <w:qFormat/>
    <w:rsid w:val="003974DE"/>
    <w:rPr>
      <w:smallCaps/>
      <w:spacing w:val="5"/>
      <w:u w:val="single"/>
    </w:rPr>
  </w:style>
  <w:style w:type="character" w:styleId="Tytuksiki">
    <w:name w:val="Book Title"/>
    <w:uiPriority w:val="33"/>
    <w:qFormat/>
    <w:rsid w:val="003974DE"/>
    <w:rPr>
      <w:i/>
      <w:iCs/>
      <w:smallCaps/>
      <w:spacing w:val="5"/>
    </w:rPr>
  </w:style>
  <w:style w:type="character" w:customStyle="1" w:styleId="MathematicaFormatTextForm">
    <w:name w:val="MathematicaFormatTextForm"/>
    <w:uiPriority w:val="99"/>
    <w:rsid w:val="0008301F"/>
  </w:style>
  <w:style w:type="paragraph" w:styleId="Legenda">
    <w:name w:val="caption"/>
    <w:basedOn w:val="Normalny"/>
    <w:next w:val="Normalny"/>
    <w:uiPriority w:val="35"/>
    <w:unhideWhenUsed/>
    <w:rsid w:val="0008301F"/>
    <w:pPr>
      <w:spacing w:line="240" w:lineRule="auto"/>
      <w:jc w:val="center"/>
    </w:pPr>
    <w:rPr>
      <w:b/>
      <w:bCs/>
      <w:sz w:val="20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953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53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53E7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53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53E7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0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1/relationships/people" Target="people.xml"/><Relationship Id="rId5" Type="http://schemas.openxmlformats.org/officeDocument/2006/relationships/settings" Target="settings.xml"/><Relationship Id="rId10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22134DF-5047-4470-A180-2185BF365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784</Words>
  <Characters>4705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Aleksander Rzepecki</cp:lastModifiedBy>
  <cp:revision>2</cp:revision>
  <cp:lastPrinted>2013-10-23T07:58:00Z</cp:lastPrinted>
  <dcterms:created xsi:type="dcterms:W3CDTF">2020-02-26T12:05:00Z</dcterms:created>
  <dcterms:modified xsi:type="dcterms:W3CDTF">2020-02-26T12:05:00Z</dcterms:modified>
</cp:coreProperties>
</file>